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FB" w:rsidRPr="000D3174" w:rsidRDefault="004908FB" w:rsidP="000D3174">
      <w:pPr>
        <w:pStyle w:val="Default"/>
        <w:jc w:val="both"/>
        <w:rPr>
          <w:rFonts w:asciiTheme="majorHAnsi" w:hAnsiTheme="majorHAnsi" w:cstheme="majorHAnsi"/>
        </w:rPr>
      </w:pPr>
      <w:bookmarkStart w:id="0" w:name="_GoBack"/>
      <w:bookmarkEnd w:id="0"/>
    </w:p>
    <w:p w:rsidR="000D3174" w:rsidRPr="000D3174" w:rsidRDefault="000D3174" w:rsidP="000D3174">
      <w:pPr>
        <w:pStyle w:val="Titre"/>
        <w:pBdr>
          <w:bottom w:val="single" w:sz="8" w:space="6" w:color="93A299" w:themeColor="accent1"/>
        </w:pBdr>
        <w:ind w:left="322"/>
        <w:jc w:val="both"/>
        <w:rPr>
          <w:rFonts w:cstheme="majorHAnsi"/>
          <w:sz w:val="24"/>
          <w:szCs w:val="24"/>
        </w:rPr>
      </w:pPr>
      <w:r w:rsidRPr="000D3174">
        <w:rPr>
          <w:rFonts w:cstheme="majorHAnsi"/>
          <w:sz w:val="24"/>
          <w:szCs w:val="24"/>
        </w:rPr>
        <w:t>Indications pour la rédaction du CCTP</w:t>
      </w:r>
    </w:p>
    <w:p w:rsidR="000D3174" w:rsidRPr="000D3174" w:rsidRDefault="000D3174" w:rsidP="000D3174">
      <w:pPr>
        <w:pStyle w:val="Titre"/>
        <w:pBdr>
          <w:bottom w:val="single" w:sz="8" w:space="6" w:color="93A299" w:themeColor="accent1"/>
        </w:pBdr>
        <w:ind w:left="322"/>
        <w:jc w:val="both"/>
        <w:rPr>
          <w:rFonts w:cstheme="majorHAnsi"/>
          <w:sz w:val="24"/>
          <w:szCs w:val="24"/>
        </w:rPr>
      </w:pPr>
      <w:r w:rsidRPr="000D3174">
        <w:rPr>
          <w:rFonts w:cstheme="majorHAnsi"/>
          <w:sz w:val="24"/>
          <w:szCs w:val="24"/>
        </w:rPr>
        <w:t>Panneau de bardage standard</w:t>
      </w:r>
      <w:r w:rsidR="0039306F">
        <w:rPr>
          <w:rFonts w:cstheme="majorHAnsi"/>
          <w:sz w:val="24"/>
          <w:szCs w:val="24"/>
        </w:rPr>
        <w:t xml:space="preserve"> F(CLAD)</w:t>
      </w:r>
      <w:r w:rsidR="0039306F" w:rsidRPr="0039306F">
        <w:rPr>
          <w:rFonts w:cstheme="majorHAnsi"/>
          <w:sz w:val="24"/>
          <w:szCs w:val="24"/>
          <w:vertAlign w:val="superscript"/>
        </w:rPr>
        <w:t xml:space="preserve"> </w:t>
      </w:r>
      <w:r w:rsidR="0039306F" w:rsidRPr="000D3174">
        <w:rPr>
          <w:rFonts w:cstheme="majorHAnsi"/>
          <w:sz w:val="24"/>
          <w:szCs w:val="24"/>
          <w:vertAlign w:val="superscript"/>
        </w:rPr>
        <w:t>®</w:t>
      </w:r>
    </w:p>
    <w:p w:rsidR="000D3174" w:rsidRPr="000D3174" w:rsidRDefault="000D3174" w:rsidP="000D3174">
      <w:pPr>
        <w:pStyle w:val="En-tte"/>
        <w:tabs>
          <w:tab w:val="clear" w:pos="4536"/>
          <w:tab w:val="clear" w:pos="9072"/>
        </w:tabs>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i/>
          <w:iCs/>
          <w:sz w:val="24"/>
          <w:szCs w:val="24"/>
        </w:rPr>
        <w:t>Vous trouverez dans cette note les principaux éléments à indiquer lors de la rédaction de votre CCTP</w:t>
      </w:r>
      <w:r w:rsidRPr="000D3174">
        <w:rPr>
          <w:rFonts w:asciiTheme="majorHAnsi" w:hAnsiTheme="majorHAnsi" w:cstheme="majorHAnsi"/>
          <w:sz w:val="24"/>
          <w:szCs w:val="24"/>
        </w:rPr>
        <w:t>.</w:t>
      </w:r>
    </w:p>
    <w:p w:rsidR="000D3174" w:rsidRPr="000D3174" w:rsidRDefault="000D3174" w:rsidP="000D3174">
      <w:pPr>
        <w:pStyle w:val="Titre1"/>
        <w:spacing w:before="0"/>
        <w:ind w:left="322"/>
        <w:jc w:val="both"/>
        <w:rPr>
          <w:rFonts w:cstheme="majorHAnsi"/>
          <w:sz w:val="24"/>
          <w:szCs w:val="24"/>
        </w:rPr>
      </w:pPr>
      <w:r w:rsidRPr="000D3174">
        <w:rPr>
          <w:rFonts w:cstheme="majorHAnsi"/>
          <w:sz w:val="24"/>
          <w:szCs w:val="24"/>
        </w:rPr>
        <w:t xml:space="preserve">Exemple de CCTP : Parement de façade </w:t>
      </w:r>
      <w:proofErr w:type="spellStart"/>
      <w:r w:rsidR="009D23B2">
        <w:rPr>
          <w:rFonts w:cstheme="majorHAnsi"/>
          <w:sz w:val="24"/>
          <w:szCs w:val="24"/>
        </w:rPr>
        <w:t>FClad</w:t>
      </w:r>
      <w:proofErr w:type="spellEnd"/>
    </w:p>
    <w:p w:rsidR="005C5EBA" w:rsidRDefault="000D3174" w:rsidP="000D3174">
      <w:pPr>
        <w:ind w:left="322"/>
        <w:jc w:val="both"/>
        <w:rPr>
          <w:rFonts w:asciiTheme="majorHAnsi" w:hAnsiTheme="majorHAnsi" w:cstheme="majorHAnsi"/>
          <w:bCs/>
          <w:sz w:val="24"/>
          <w:szCs w:val="24"/>
        </w:rPr>
      </w:pPr>
      <w:r w:rsidRPr="000D3174">
        <w:rPr>
          <w:rFonts w:asciiTheme="majorHAnsi" w:hAnsiTheme="majorHAnsi" w:cstheme="majorHAnsi"/>
          <w:bCs/>
          <w:sz w:val="24"/>
          <w:szCs w:val="24"/>
        </w:rPr>
        <w:t>Fourniture et pose d’un bardage rapporté ventilé à l’aide de panneaux plans du type</w:t>
      </w:r>
      <w:r w:rsidR="0039306F">
        <w:rPr>
          <w:rFonts w:asciiTheme="majorHAnsi" w:hAnsiTheme="majorHAnsi" w:cstheme="majorHAnsi"/>
          <w:bCs/>
          <w:sz w:val="24"/>
          <w:szCs w:val="24"/>
        </w:rPr>
        <w:t xml:space="preserve"> F(</w:t>
      </w:r>
      <w:proofErr w:type="spellStart"/>
      <w:r w:rsidR="0039306F">
        <w:rPr>
          <w:rFonts w:asciiTheme="majorHAnsi" w:hAnsiTheme="majorHAnsi" w:cstheme="majorHAnsi"/>
          <w:bCs/>
          <w:sz w:val="24"/>
          <w:szCs w:val="24"/>
        </w:rPr>
        <w:t>Clad</w:t>
      </w:r>
      <w:proofErr w:type="spellEnd"/>
      <w:r w:rsidR="0039306F">
        <w:rPr>
          <w:rFonts w:asciiTheme="majorHAnsi" w:hAnsiTheme="majorHAnsi" w:cstheme="majorHAnsi"/>
          <w:bCs/>
          <w:sz w:val="24"/>
          <w:szCs w:val="24"/>
        </w:rPr>
        <w:t>)</w:t>
      </w:r>
      <w:r w:rsidR="0039306F" w:rsidRPr="0039306F">
        <w:rPr>
          <w:rFonts w:asciiTheme="majorHAnsi" w:hAnsiTheme="majorHAnsi" w:cstheme="majorHAnsi"/>
          <w:sz w:val="24"/>
          <w:szCs w:val="24"/>
          <w:vertAlign w:val="superscript"/>
        </w:rPr>
        <w:t xml:space="preserve"> </w:t>
      </w:r>
      <w:r w:rsidR="0039306F" w:rsidRPr="000D3174">
        <w:rPr>
          <w:rFonts w:asciiTheme="majorHAnsi" w:hAnsiTheme="majorHAnsi" w:cstheme="majorHAnsi"/>
          <w:sz w:val="24"/>
          <w:szCs w:val="24"/>
          <w:vertAlign w:val="superscript"/>
        </w:rPr>
        <w:t>®</w:t>
      </w:r>
      <w:r w:rsidRPr="000D3174">
        <w:rPr>
          <w:rFonts w:asciiTheme="majorHAnsi" w:hAnsiTheme="majorHAnsi" w:cstheme="majorHAnsi"/>
          <w:bCs/>
          <w:sz w:val="24"/>
          <w:szCs w:val="24"/>
        </w:rPr>
        <w:t xml:space="preserve"> </w:t>
      </w:r>
      <w:r w:rsidR="005C5EBA">
        <w:rPr>
          <w:rFonts w:asciiTheme="majorHAnsi" w:hAnsiTheme="majorHAnsi" w:cstheme="majorHAnsi"/>
          <w:bCs/>
          <w:sz w:val="24"/>
          <w:szCs w:val="24"/>
        </w:rPr>
        <w:t xml:space="preserve">ou techniquement équivalent de l’entreprise FEHR </w:t>
      </w:r>
    </w:p>
    <w:p w:rsidR="000D3174" w:rsidRPr="000D3174" w:rsidRDefault="000D3174" w:rsidP="000D3174">
      <w:pPr>
        <w:ind w:left="322"/>
        <w:jc w:val="both"/>
        <w:rPr>
          <w:rFonts w:asciiTheme="majorHAnsi" w:hAnsiTheme="majorHAnsi" w:cstheme="majorHAnsi"/>
          <w:bCs/>
          <w:sz w:val="24"/>
          <w:szCs w:val="24"/>
        </w:rPr>
      </w:pPr>
      <w:r w:rsidRPr="000D3174">
        <w:rPr>
          <w:rFonts w:asciiTheme="majorHAnsi" w:hAnsiTheme="majorHAnsi" w:cstheme="majorHAnsi"/>
          <w:bCs/>
          <w:sz w:val="24"/>
          <w:szCs w:val="24"/>
        </w:rPr>
        <w:t>Système de fixation de manière visible (vis) ou invisible (agrafe sur rail).</w:t>
      </w:r>
    </w:p>
    <w:p w:rsidR="000D3174" w:rsidRPr="000D3174" w:rsidRDefault="000D3174" w:rsidP="000D3174">
      <w:pPr>
        <w:ind w:left="322"/>
        <w:jc w:val="both"/>
        <w:rPr>
          <w:rFonts w:asciiTheme="majorHAnsi" w:hAnsiTheme="majorHAnsi" w:cstheme="majorHAnsi"/>
          <w:b/>
          <w:bCs/>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Support</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Maçonneries livrées par le lot Gros œuvre ou construction sur ossature bois posée par le lot Charpente Bois.</w:t>
      </w:r>
    </w:p>
    <w:p w:rsidR="000D3174" w:rsidRPr="000D3174" w:rsidRDefault="000D3174" w:rsidP="000D3174">
      <w:pPr>
        <w:ind w:left="322"/>
        <w:jc w:val="both"/>
        <w:rPr>
          <w:rFonts w:asciiTheme="majorHAnsi" w:hAnsiTheme="majorHAnsi" w:cstheme="majorHAnsi"/>
          <w:b/>
          <w:bCs/>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Nature et caractéristiques du matériau</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Panneaux en Béton Fibré à Ultra-hautes Performances (BFUP), formulation non structurelle,  par exemple en </w:t>
      </w:r>
      <w:proofErr w:type="spellStart"/>
      <w:r w:rsidRPr="000D3174">
        <w:rPr>
          <w:rFonts w:asciiTheme="majorHAnsi" w:hAnsiTheme="majorHAnsi" w:cstheme="majorHAnsi"/>
          <w:sz w:val="24"/>
          <w:szCs w:val="24"/>
        </w:rPr>
        <w:t>Ductal</w:t>
      </w:r>
      <w:proofErr w:type="spellEnd"/>
      <w:r w:rsidRPr="000D3174">
        <w:rPr>
          <w:rFonts w:asciiTheme="majorHAnsi" w:hAnsiTheme="majorHAnsi" w:cstheme="majorHAnsi"/>
          <w:sz w:val="24"/>
          <w:szCs w:val="24"/>
          <w:vertAlign w:val="superscript"/>
        </w:rPr>
        <w:sym w:font="Symbol" w:char="F0D2"/>
      </w:r>
      <w:r w:rsidRPr="000D3174">
        <w:rPr>
          <w:rFonts w:asciiTheme="majorHAnsi" w:hAnsiTheme="majorHAnsi" w:cstheme="majorHAnsi"/>
          <w:sz w:val="24"/>
          <w:szCs w:val="24"/>
        </w:rPr>
        <w:t xml:space="preserve"> par Lafarge, ou équivalent.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Ce béton se caractérise par :</w:t>
      </w:r>
    </w:p>
    <w:p w:rsidR="000D3174" w:rsidRPr="000D3174" w:rsidRDefault="000D3174" w:rsidP="000D3174">
      <w:pPr>
        <w:numPr>
          <w:ilvl w:val="0"/>
          <w:numId w:val="1"/>
        </w:numPr>
        <w:ind w:left="709"/>
        <w:jc w:val="both"/>
        <w:rPr>
          <w:rFonts w:asciiTheme="majorHAnsi" w:hAnsiTheme="majorHAnsi" w:cstheme="majorHAnsi"/>
          <w:sz w:val="24"/>
          <w:szCs w:val="24"/>
        </w:rPr>
      </w:pPr>
      <w:r w:rsidRPr="000D3174">
        <w:rPr>
          <w:rFonts w:asciiTheme="majorHAnsi" w:hAnsiTheme="majorHAnsi" w:cstheme="majorHAnsi"/>
          <w:sz w:val="24"/>
          <w:szCs w:val="24"/>
        </w:rPr>
        <w:t xml:space="preserve">une résistance à la compression caractéristique supérieure à 100 </w:t>
      </w:r>
      <w:proofErr w:type="spellStart"/>
      <w:r w:rsidRPr="000D3174">
        <w:rPr>
          <w:rFonts w:asciiTheme="majorHAnsi" w:hAnsiTheme="majorHAnsi" w:cstheme="majorHAnsi"/>
          <w:sz w:val="24"/>
          <w:szCs w:val="24"/>
        </w:rPr>
        <w:t>MPa</w:t>
      </w:r>
      <w:proofErr w:type="spellEnd"/>
      <w:r w:rsidRPr="000D3174">
        <w:rPr>
          <w:rFonts w:asciiTheme="majorHAnsi" w:hAnsiTheme="majorHAnsi" w:cstheme="majorHAnsi"/>
          <w:sz w:val="24"/>
          <w:szCs w:val="24"/>
        </w:rPr>
        <w:t xml:space="preserve"> à 28 jours</w:t>
      </w:r>
    </w:p>
    <w:p w:rsidR="000D3174" w:rsidRPr="000D3174" w:rsidRDefault="000D3174" w:rsidP="000D3174">
      <w:pPr>
        <w:numPr>
          <w:ilvl w:val="0"/>
          <w:numId w:val="1"/>
        </w:numPr>
        <w:ind w:left="709"/>
        <w:jc w:val="both"/>
        <w:rPr>
          <w:rFonts w:asciiTheme="majorHAnsi" w:hAnsiTheme="majorHAnsi" w:cstheme="majorHAnsi"/>
          <w:sz w:val="24"/>
          <w:szCs w:val="24"/>
        </w:rPr>
      </w:pPr>
      <w:r w:rsidRPr="000D3174">
        <w:rPr>
          <w:rFonts w:asciiTheme="majorHAnsi" w:hAnsiTheme="majorHAnsi" w:cstheme="majorHAnsi"/>
          <w:sz w:val="24"/>
          <w:szCs w:val="24"/>
        </w:rPr>
        <w:t xml:space="preserve">une résistance à la traction supérieure à 6 </w:t>
      </w:r>
      <w:proofErr w:type="spellStart"/>
      <w:r w:rsidRPr="000D3174">
        <w:rPr>
          <w:rFonts w:asciiTheme="majorHAnsi" w:hAnsiTheme="majorHAnsi" w:cstheme="majorHAnsi"/>
          <w:sz w:val="24"/>
          <w:szCs w:val="24"/>
        </w:rPr>
        <w:t>MPa</w:t>
      </w:r>
      <w:proofErr w:type="spellEnd"/>
      <w:r w:rsidRPr="000D3174">
        <w:rPr>
          <w:rFonts w:asciiTheme="majorHAnsi" w:hAnsiTheme="majorHAnsi" w:cstheme="majorHAnsi"/>
          <w:sz w:val="24"/>
          <w:szCs w:val="24"/>
        </w:rPr>
        <w:t xml:space="preserve"> à 28 jours</w:t>
      </w:r>
    </w:p>
    <w:p w:rsidR="000D3174" w:rsidRPr="000D3174" w:rsidRDefault="000D3174" w:rsidP="000D3174">
      <w:pPr>
        <w:numPr>
          <w:ilvl w:val="0"/>
          <w:numId w:val="1"/>
        </w:numPr>
        <w:ind w:left="709"/>
        <w:jc w:val="both"/>
        <w:rPr>
          <w:rFonts w:asciiTheme="majorHAnsi" w:hAnsiTheme="majorHAnsi" w:cstheme="majorHAnsi"/>
          <w:sz w:val="24"/>
          <w:szCs w:val="24"/>
        </w:rPr>
      </w:pPr>
      <w:r w:rsidRPr="000D3174">
        <w:rPr>
          <w:rFonts w:asciiTheme="majorHAnsi" w:hAnsiTheme="majorHAnsi" w:cstheme="majorHAnsi"/>
          <w:sz w:val="24"/>
          <w:szCs w:val="24"/>
        </w:rPr>
        <w:t>un mode de rupture ductile (comportement écrouissant en flexion): module de rupture supérieure à la limite d’élasticité</w:t>
      </w:r>
    </w:p>
    <w:p w:rsidR="000D3174" w:rsidRPr="000D3174" w:rsidRDefault="000D3174" w:rsidP="000D3174">
      <w:pPr>
        <w:numPr>
          <w:ilvl w:val="0"/>
          <w:numId w:val="1"/>
        </w:numPr>
        <w:ind w:left="709"/>
        <w:jc w:val="both"/>
        <w:rPr>
          <w:rFonts w:asciiTheme="majorHAnsi" w:hAnsiTheme="majorHAnsi" w:cstheme="majorHAnsi"/>
          <w:sz w:val="24"/>
          <w:szCs w:val="24"/>
        </w:rPr>
      </w:pPr>
      <w:r w:rsidRPr="000D3174">
        <w:rPr>
          <w:rFonts w:asciiTheme="majorHAnsi" w:hAnsiTheme="majorHAnsi" w:cstheme="majorHAnsi"/>
          <w:sz w:val="24"/>
          <w:szCs w:val="24"/>
        </w:rPr>
        <w:t>une très haute durabilité : faible porosité à l’eau (&lt;12%), un maintien du module de rupture en flexion et du module d’Young après essais de vieillissement accéléré (type cycle HRT)</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Les principes de l’obtention de ces performances reposent notamment sur une teneur élevée en liant et un rapport eau/ciment faible.</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Module</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Bardage du typ</w:t>
      </w:r>
      <w:r w:rsidR="009D23B2">
        <w:rPr>
          <w:rFonts w:asciiTheme="majorHAnsi" w:hAnsiTheme="majorHAnsi" w:cstheme="majorHAnsi"/>
          <w:sz w:val="24"/>
          <w:szCs w:val="24"/>
        </w:rPr>
        <w:t xml:space="preserve">e panneaux </w:t>
      </w:r>
      <w:proofErr w:type="spellStart"/>
      <w:r w:rsidR="009D23B2">
        <w:rPr>
          <w:rFonts w:asciiTheme="majorHAnsi" w:hAnsiTheme="majorHAnsi" w:cstheme="majorHAnsi"/>
          <w:sz w:val="24"/>
          <w:szCs w:val="24"/>
        </w:rPr>
        <w:t>Fclad</w:t>
      </w:r>
      <w:proofErr w:type="spellEnd"/>
      <w:r w:rsidRPr="000D3174">
        <w:rPr>
          <w:rFonts w:asciiTheme="majorHAnsi" w:hAnsiTheme="majorHAnsi" w:cstheme="majorHAnsi"/>
          <w:sz w:val="24"/>
          <w:szCs w:val="24"/>
        </w:rPr>
        <w:t xml:space="preserve"> ou équivalent.</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 xml:space="preserve">Module de mise en œuvre suivant calepinage Architecte. Les modules de façade sont </w:t>
      </w:r>
      <w:proofErr w:type="spellStart"/>
      <w:r w:rsidRPr="000D3174">
        <w:rPr>
          <w:rFonts w:asciiTheme="majorHAnsi" w:hAnsiTheme="majorHAnsi" w:cstheme="majorHAnsi"/>
          <w:sz w:val="24"/>
          <w:szCs w:val="24"/>
        </w:rPr>
        <w:t>calepinés</w:t>
      </w:r>
      <w:proofErr w:type="spellEnd"/>
      <w:r w:rsidRPr="000D3174">
        <w:rPr>
          <w:rFonts w:asciiTheme="majorHAnsi" w:hAnsiTheme="majorHAnsi" w:cstheme="majorHAnsi"/>
          <w:sz w:val="24"/>
          <w:szCs w:val="24"/>
        </w:rPr>
        <w:t xml:space="preserve"> à partir de formats industriels. </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Epaisseur : entre 15-16mm</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Coloris : au choix du MOE suivant le nuancier du fabricant.</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Textures : au choix du MOE suivant le nuancier du fabricant.</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Masse surfacique : entre 35 et 37 kg/m²</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Qualité standard</w:t>
      </w:r>
    </w:p>
    <w:p w:rsidR="000D3174" w:rsidRPr="000D3174" w:rsidRDefault="000D3174" w:rsidP="000D3174">
      <w:pPr>
        <w:numPr>
          <w:ilvl w:val="0"/>
          <w:numId w:val="1"/>
        </w:numPr>
        <w:tabs>
          <w:tab w:val="clear" w:pos="720"/>
        </w:tabs>
        <w:ind w:left="709"/>
        <w:jc w:val="both"/>
        <w:rPr>
          <w:rFonts w:asciiTheme="majorHAnsi" w:hAnsiTheme="majorHAnsi" w:cstheme="majorHAnsi"/>
          <w:sz w:val="24"/>
          <w:szCs w:val="24"/>
        </w:rPr>
      </w:pPr>
      <w:r w:rsidRPr="000D3174">
        <w:rPr>
          <w:rFonts w:asciiTheme="majorHAnsi" w:hAnsiTheme="majorHAnsi" w:cstheme="majorHAnsi"/>
          <w:sz w:val="24"/>
          <w:szCs w:val="24"/>
        </w:rPr>
        <w:t xml:space="preserve">Classement au feu : M0 (législation française) </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Revêtement de protection des éléments</w:t>
      </w:r>
    </w:p>
    <w:p w:rsidR="00C96451" w:rsidRPr="000D3174" w:rsidRDefault="000D3174" w:rsidP="005F3EAD">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Une lasure </w:t>
      </w:r>
      <w:r w:rsidR="005F3EAD">
        <w:rPr>
          <w:rFonts w:asciiTheme="majorHAnsi" w:hAnsiTheme="majorHAnsi" w:cstheme="majorHAnsi"/>
          <w:sz w:val="24"/>
          <w:szCs w:val="24"/>
        </w:rPr>
        <w:t>est</w:t>
      </w:r>
      <w:r w:rsidRPr="000D3174">
        <w:rPr>
          <w:rFonts w:asciiTheme="majorHAnsi" w:hAnsiTheme="majorHAnsi" w:cstheme="majorHAnsi"/>
          <w:sz w:val="24"/>
          <w:szCs w:val="24"/>
        </w:rPr>
        <w:t xml:space="preserve"> appliquée afin de personnaliser notamment la teinte, l’état de surface et la brillance.</w:t>
      </w:r>
    </w:p>
    <w:p w:rsidR="000D3174" w:rsidRDefault="000D3174" w:rsidP="000D3174">
      <w:pPr>
        <w:jc w:val="both"/>
        <w:rPr>
          <w:rFonts w:asciiTheme="majorHAnsi" w:hAnsiTheme="majorHAnsi" w:cstheme="majorHAnsi"/>
          <w:sz w:val="24"/>
          <w:szCs w:val="24"/>
        </w:rPr>
      </w:pPr>
    </w:p>
    <w:p w:rsidR="005F3EAD" w:rsidRDefault="005F3EAD" w:rsidP="000D3174">
      <w:pPr>
        <w:jc w:val="both"/>
        <w:rPr>
          <w:rFonts w:asciiTheme="majorHAnsi" w:hAnsiTheme="majorHAnsi" w:cstheme="majorHAnsi"/>
          <w:sz w:val="24"/>
          <w:szCs w:val="24"/>
        </w:rPr>
      </w:pPr>
    </w:p>
    <w:p w:rsidR="005F3EAD" w:rsidRPr="000D3174" w:rsidRDefault="005F3EAD" w:rsidP="005F3EAD">
      <w:pPr>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Mise en œuvre</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Le mode d’exécution des travaux sera conforme aux prescriptions du fabricant.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Une note technique et des plans, établis par le titulaire du présent lot, devront être définis.</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Fixation visible ou invisible.</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Ossature constituée de profils verticaux porteurs en L ou en T en aluminium AGS 6060 et de patte équerre en aluminium,  conforme au cahier du CSTB 3194. Cette ossature sera elle-même fixée à la façade par des pattes réglables avec interposition de cales thermiques. Ecartement du support suivant nues de façades.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Fixation des plaques de bardage avec agrafe sur rail type Rail C+ et inserts </w:t>
      </w:r>
      <w:proofErr w:type="spellStart"/>
      <w:r w:rsidRPr="000D3174">
        <w:rPr>
          <w:rFonts w:asciiTheme="majorHAnsi" w:hAnsiTheme="majorHAnsi" w:cstheme="majorHAnsi"/>
          <w:sz w:val="24"/>
          <w:szCs w:val="24"/>
        </w:rPr>
        <w:t>Keil</w:t>
      </w:r>
      <w:proofErr w:type="spellEnd"/>
      <w:r w:rsidRPr="000D3174">
        <w:rPr>
          <w:rFonts w:asciiTheme="majorHAnsi" w:hAnsiTheme="majorHAnsi" w:cstheme="majorHAnsi"/>
          <w:sz w:val="24"/>
          <w:szCs w:val="24"/>
        </w:rPr>
        <w:t xml:space="preserve"> (fixation invisible) ou avec des vis (fixation visible)</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Joints verticaux et horizontaux d</w:t>
      </w:r>
      <w:r w:rsidR="005F3EAD">
        <w:rPr>
          <w:rFonts w:asciiTheme="majorHAnsi" w:hAnsiTheme="majorHAnsi" w:cstheme="majorHAnsi"/>
          <w:sz w:val="24"/>
          <w:szCs w:val="24"/>
        </w:rPr>
        <w:t>’</w:t>
      </w:r>
      <w:r w:rsidRPr="000D3174">
        <w:rPr>
          <w:rFonts w:asciiTheme="majorHAnsi" w:hAnsiTheme="majorHAnsi" w:cstheme="majorHAnsi"/>
          <w:sz w:val="24"/>
          <w:szCs w:val="24"/>
        </w:rPr>
        <w:t>e</w:t>
      </w:r>
      <w:r w:rsidR="005F3EAD">
        <w:rPr>
          <w:rFonts w:asciiTheme="majorHAnsi" w:hAnsiTheme="majorHAnsi" w:cstheme="majorHAnsi"/>
          <w:sz w:val="24"/>
          <w:szCs w:val="24"/>
        </w:rPr>
        <w:t>nviron</w:t>
      </w:r>
      <w:r w:rsidRPr="000D3174">
        <w:rPr>
          <w:rFonts w:asciiTheme="majorHAnsi" w:hAnsiTheme="majorHAnsi" w:cstheme="majorHAnsi"/>
          <w:sz w:val="24"/>
          <w:szCs w:val="24"/>
        </w:rPr>
        <w:t xml:space="preserve"> 8mm.</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Dispositions particulières à respecter en cas de pose en zone de sismicité non nulle ou de pose pour obtenir un classement Q4 en paroi difficilement remplaçable selon la norme P08-302.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L’isolant sera ventilé par lame d’air de 20 mm minimum. Des entrées et sorties d’air continues seront disposées en partie haute et basse du bardage avec reprises des orifices de ventilations en encadrement de baies. </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Traitement des points singuliers (angles, encadrement de baies etc..) par accessoires dans la gamme suivant cahier des charges du fabricant.</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L’ensemble sera calculé par rapport aux effets du vent extérieur et proposé au Bureau de Contrôle avant mise en œuvre.</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Nettoyage des parements à exécuter par le présent lot, en fin de travaux. </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sz w:val="24"/>
          <w:szCs w:val="24"/>
          <w:u w:val="single"/>
        </w:rPr>
      </w:pPr>
      <w:r w:rsidRPr="000D3174">
        <w:rPr>
          <w:rFonts w:asciiTheme="majorHAnsi" w:hAnsiTheme="majorHAnsi" w:cstheme="majorHAnsi"/>
          <w:sz w:val="24"/>
          <w:szCs w:val="24"/>
          <w:u w:val="single"/>
        </w:rPr>
        <w:t xml:space="preserve">Points particuliers : </w:t>
      </w:r>
    </w:p>
    <w:p w:rsidR="000D3174" w:rsidRPr="000D3174" w:rsidRDefault="000D3174" w:rsidP="000D3174">
      <w:pPr>
        <w:ind w:left="322"/>
        <w:jc w:val="both"/>
        <w:rPr>
          <w:rFonts w:asciiTheme="majorHAnsi" w:hAnsiTheme="majorHAnsi" w:cstheme="majorHAnsi"/>
          <w:sz w:val="24"/>
          <w:szCs w:val="24"/>
          <w:u w:val="single"/>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 xml:space="preserve">Profil bas rejet d’eau :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Profil bas en tôle en acier laqué avec en plus casse goutte en recouvrement de soubassement de façades et fermeture du vide entre support et parement par grillage anti rongeur et anti insectes, mais permettant la ventilation de la lame d’air de 20 </w:t>
      </w:r>
      <w:proofErr w:type="spellStart"/>
      <w:r w:rsidRPr="000D3174">
        <w:rPr>
          <w:rFonts w:asciiTheme="majorHAnsi" w:hAnsiTheme="majorHAnsi" w:cstheme="majorHAnsi"/>
          <w:sz w:val="24"/>
          <w:szCs w:val="24"/>
        </w:rPr>
        <w:t>mm.</w:t>
      </w:r>
      <w:proofErr w:type="spellEnd"/>
      <w:r w:rsidRPr="000D3174">
        <w:rPr>
          <w:rFonts w:asciiTheme="majorHAnsi" w:hAnsiTheme="majorHAnsi" w:cstheme="majorHAnsi"/>
          <w:sz w:val="24"/>
          <w:szCs w:val="24"/>
        </w:rPr>
        <w:t xml:space="preserve"> </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 xml:space="preserve">Couvre mur en tête : </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 xml:space="preserve">Les couvres murs sont à la charge du lot Etanchéité. </w:t>
      </w:r>
    </w:p>
    <w:p w:rsidR="000D3174" w:rsidRDefault="000D3174"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Default="005F3EAD" w:rsidP="000D3174">
      <w:pPr>
        <w:ind w:left="322"/>
        <w:jc w:val="both"/>
        <w:rPr>
          <w:rFonts w:asciiTheme="majorHAnsi" w:hAnsiTheme="majorHAnsi" w:cstheme="majorHAnsi"/>
          <w:sz w:val="24"/>
          <w:szCs w:val="24"/>
        </w:rPr>
      </w:pPr>
    </w:p>
    <w:p w:rsidR="005F3EAD" w:rsidRPr="000D3174" w:rsidRDefault="005F3EAD"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Ebrasements</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en tôle d’aluminium laquée.</w:t>
      </w:r>
    </w:p>
    <w:p w:rsidR="000D3174" w:rsidRPr="000D3174" w:rsidRDefault="000D3174" w:rsidP="000D3174">
      <w:pPr>
        <w:ind w:left="322"/>
        <w:jc w:val="both"/>
        <w:rPr>
          <w:rFonts w:asciiTheme="majorHAnsi" w:hAnsiTheme="majorHAnsi" w:cstheme="majorHAnsi"/>
          <w:sz w:val="24"/>
          <w:szCs w:val="24"/>
        </w:rPr>
      </w:pPr>
    </w:p>
    <w:p w:rsidR="000D3174" w:rsidRPr="000D3174" w:rsidRDefault="000D3174" w:rsidP="000D3174">
      <w:pPr>
        <w:ind w:left="322"/>
        <w:jc w:val="both"/>
        <w:rPr>
          <w:rFonts w:asciiTheme="majorHAnsi" w:hAnsiTheme="majorHAnsi" w:cstheme="majorHAnsi"/>
          <w:b/>
          <w:bCs/>
          <w:sz w:val="24"/>
          <w:szCs w:val="24"/>
        </w:rPr>
      </w:pPr>
      <w:r w:rsidRPr="000D3174">
        <w:rPr>
          <w:rFonts w:asciiTheme="majorHAnsi" w:hAnsiTheme="majorHAnsi" w:cstheme="majorHAnsi"/>
          <w:b/>
          <w:bCs/>
          <w:sz w:val="24"/>
          <w:szCs w:val="24"/>
        </w:rPr>
        <w:t>Menuiseries extérieures</w:t>
      </w:r>
    </w:p>
    <w:p w:rsidR="000D3174" w:rsidRPr="000D3174" w:rsidRDefault="000D3174" w:rsidP="000D3174">
      <w:pPr>
        <w:ind w:left="322"/>
        <w:jc w:val="both"/>
        <w:rPr>
          <w:rFonts w:asciiTheme="majorHAnsi" w:hAnsiTheme="majorHAnsi" w:cstheme="majorHAnsi"/>
          <w:sz w:val="24"/>
          <w:szCs w:val="24"/>
        </w:rPr>
      </w:pPr>
      <w:r w:rsidRPr="000D3174">
        <w:rPr>
          <w:rFonts w:asciiTheme="majorHAnsi" w:hAnsiTheme="majorHAnsi" w:cstheme="majorHAnsi"/>
          <w:sz w:val="24"/>
          <w:szCs w:val="24"/>
        </w:rPr>
        <w:t>Les menuiseries extérieures seront posées en pré cadre avec bâtis dormant au nu du parement de façade extérieur et disposeront d’un appui en aluminium venant en recouvrement du bardage de façades. (Appuis à la charge du lot Menuiseries Extérieures).</w:t>
      </w:r>
    </w:p>
    <w:p w:rsidR="000D3174" w:rsidRPr="000D3174" w:rsidRDefault="000D3174" w:rsidP="000D3174">
      <w:pPr>
        <w:jc w:val="both"/>
        <w:rPr>
          <w:rFonts w:asciiTheme="majorHAnsi" w:hAnsiTheme="majorHAnsi" w:cstheme="majorHAnsi"/>
          <w:sz w:val="24"/>
          <w:szCs w:val="24"/>
        </w:rPr>
      </w:pPr>
    </w:p>
    <w:sectPr w:rsidR="000D3174" w:rsidRPr="000D3174" w:rsidSect="005F3EAD">
      <w:headerReference w:type="default" r:id="rId7"/>
      <w:footerReference w:type="default" r:id="rId8"/>
      <w:pgSz w:w="11906" w:h="16838"/>
      <w:pgMar w:top="1417" w:right="42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EC" w:rsidRDefault="00434BEC" w:rsidP="007D34CB">
      <w:r>
        <w:separator/>
      </w:r>
    </w:p>
  </w:endnote>
  <w:endnote w:type="continuationSeparator" w:id="0">
    <w:p w:rsidR="00434BEC" w:rsidRDefault="00434BEC" w:rsidP="007D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04" w:rsidRDefault="00173930" w:rsidP="00173930">
    <w:pPr>
      <w:pStyle w:val="Pieddepage"/>
      <w:jc w:val="right"/>
    </w:pPr>
    <w:r>
      <w:rPr>
        <w:noProof/>
        <w:lang w:eastAsia="fr-FR"/>
      </w:rPr>
      <w:drawing>
        <wp:inline distT="0" distB="0" distL="0" distR="0" wp14:anchorId="0B5F1B0C" wp14:editId="5A9D4F0F">
          <wp:extent cx="5606074" cy="11137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0043" cy="11224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EC" w:rsidRDefault="00434BEC" w:rsidP="007D34CB">
      <w:r>
        <w:separator/>
      </w:r>
    </w:p>
  </w:footnote>
  <w:footnote w:type="continuationSeparator" w:id="0">
    <w:p w:rsidR="00434BEC" w:rsidRDefault="00434BEC" w:rsidP="007D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CB" w:rsidRDefault="00173930" w:rsidP="00173930">
    <w:pPr>
      <w:pStyle w:val="En-tte"/>
      <w:tabs>
        <w:tab w:val="left" w:pos="10065"/>
      </w:tabs>
      <w:ind w:left="-426"/>
      <w:jc w:val="right"/>
    </w:pPr>
    <w:r>
      <w:rPr>
        <w:noProof/>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-449857</wp:posOffset>
          </wp:positionV>
          <wp:extent cx="1701165" cy="2053590"/>
          <wp:effectExtent l="0" t="0" r="0" b="3810"/>
          <wp:wrapTight wrapText="bothSides">
            <wp:wrapPolygon edited="0">
              <wp:start x="0" y="0"/>
              <wp:lineTo x="0" y="21440"/>
              <wp:lineTo x="21286" y="21440"/>
              <wp:lineTo x="2128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en tê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65" cy="2053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39FF"/>
    <w:multiLevelType w:val="hybridMultilevel"/>
    <w:tmpl w:val="4B64BCF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CB"/>
    <w:rsid w:val="000D3174"/>
    <w:rsid w:val="000F35C6"/>
    <w:rsid w:val="00173930"/>
    <w:rsid w:val="00176007"/>
    <w:rsid w:val="00280404"/>
    <w:rsid w:val="002F6E3B"/>
    <w:rsid w:val="003104CC"/>
    <w:rsid w:val="00324F8F"/>
    <w:rsid w:val="0039306F"/>
    <w:rsid w:val="003D73EF"/>
    <w:rsid w:val="00420AEE"/>
    <w:rsid w:val="00434BEC"/>
    <w:rsid w:val="004908FB"/>
    <w:rsid w:val="004D7A72"/>
    <w:rsid w:val="005C5EBA"/>
    <w:rsid w:val="005F3EAD"/>
    <w:rsid w:val="007662C5"/>
    <w:rsid w:val="007D34CB"/>
    <w:rsid w:val="007F1856"/>
    <w:rsid w:val="008C6D30"/>
    <w:rsid w:val="00924506"/>
    <w:rsid w:val="00973CDC"/>
    <w:rsid w:val="009859D7"/>
    <w:rsid w:val="009D23B2"/>
    <w:rsid w:val="00A84966"/>
    <w:rsid w:val="00B11615"/>
    <w:rsid w:val="00B720B8"/>
    <w:rsid w:val="00BA6DB4"/>
    <w:rsid w:val="00C14A4B"/>
    <w:rsid w:val="00CE0D15"/>
    <w:rsid w:val="00D1679A"/>
    <w:rsid w:val="00E43A96"/>
    <w:rsid w:val="00E92FA1"/>
    <w:rsid w:val="00F15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87B460-E12C-4F29-AB3F-3ABAA35B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007"/>
  </w:style>
  <w:style w:type="paragraph" w:styleId="Titre1">
    <w:name w:val="heading 1"/>
    <w:basedOn w:val="Normal"/>
    <w:next w:val="Normal"/>
    <w:link w:val="Titre1Car"/>
    <w:uiPriority w:val="9"/>
    <w:qFormat/>
    <w:rsid w:val="00176007"/>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176007"/>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Titre3">
    <w:name w:val="heading 3"/>
    <w:basedOn w:val="Normal"/>
    <w:next w:val="Normal"/>
    <w:link w:val="Titre3Car"/>
    <w:uiPriority w:val="9"/>
    <w:unhideWhenUsed/>
    <w:qFormat/>
    <w:rsid w:val="00176007"/>
    <w:pPr>
      <w:keepNext/>
      <w:keepLines/>
      <w:spacing w:before="200"/>
      <w:outlineLvl w:val="2"/>
    </w:pPr>
    <w:rPr>
      <w:rFonts w:asciiTheme="majorHAnsi" w:eastAsiaTheme="majorEastAsia" w:hAnsiTheme="majorHAnsi" w:cstheme="majorBidi"/>
      <w:b/>
      <w:bCs/>
      <w:color w:val="93A299" w:themeColor="accent1"/>
    </w:rPr>
  </w:style>
  <w:style w:type="paragraph" w:styleId="Titre4">
    <w:name w:val="heading 4"/>
    <w:basedOn w:val="Normal"/>
    <w:next w:val="Normal"/>
    <w:link w:val="Titre4Car"/>
    <w:uiPriority w:val="9"/>
    <w:unhideWhenUsed/>
    <w:qFormat/>
    <w:rsid w:val="00176007"/>
    <w:pPr>
      <w:keepNext/>
      <w:keepLines/>
      <w:spacing w:before="200"/>
      <w:outlineLvl w:val="3"/>
    </w:pPr>
    <w:rPr>
      <w:rFonts w:asciiTheme="majorHAnsi" w:eastAsiaTheme="majorEastAsia" w:hAnsiTheme="majorHAnsi" w:cstheme="majorBidi"/>
      <w:b/>
      <w:bCs/>
      <w:i/>
      <w:iCs/>
      <w:color w:val="93A299" w:themeColor="accent1"/>
    </w:rPr>
  </w:style>
  <w:style w:type="paragraph" w:styleId="Titre5">
    <w:name w:val="heading 5"/>
    <w:basedOn w:val="Normal"/>
    <w:next w:val="Normal"/>
    <w:link w:val="Titre5Car"/>
    <w:uiPriority w:val="9"/>
    <w:unhideWhenUsed/>
    <w:qFormat/>
    <w:rsid w:val="00176007"/>
    <w:pPr>
      <w:keepNext/>
      <w:keepLines/>
      <w:spacing w:before="200"/>
      <w:outlineLvl w:val="4"/>
    </w:pPr>
    <w:rPr>
      <w:rFonts w:asciiTheme="majorHAnsi" w:eastAsiaTheme="majorEastAsia" w:hAnsiTheme="majorHAnsi" w:cstheme="majorBidi"/>
      <w:color w:val="47524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007"/>
    <w:rPr>
      <w:rFonts w:asciiTheme="majorHAnsi" w:eastAsiaTheme="majorEastAsia" w:hAnsiTheme="majorHAnsi" w:cstheme="majorBidi"/>
      <w:b/>
      <w:bCs/>
      <w:color w:val="6B7C71" w:themeColor="accent1" w:themeShade="BF"/>
      <w:sz w:val="28"/>
      <w:szCs w:val="28"/>
    </w:rPr>
  </w:style>
  <w:style w:type="character" w:customStyle="1" w:styleId="Titre2Car">
    <w:name w:val="Titre 2 Car"/>
    <w:basedOn w:val="Policepardfaut"/>
    <w:link w:val="Titre2"/>
    <w:uiPriority w:val="9"/>
    <w:rsid w:val="00176007"/>
    <w:rPr>
      <w:rFonts w:asciiTheme="majorHAnsi" w:eastAsiaTheme="majorEastAsia" w:hAnsiTheme="majorHAnsi" w:cstheme="majorBidi"/>
      <w:b/>
      <w:bCs/>
      <w:color w:val="93A299" w:themeColor="accent1"/>
      <w:sz w:val="26"/>
      <w:szCs w:val="26"/>
    </w:rPr>
  </w:style>
  <w:style w:type="character" w:customStyle="1" w:styleId="Titre3Car">
    <w:name w:val="Titre 3 Car"/>
    <w:basedOn w:val="Policepardfaut"/>
    <w:link w:val="Titre3"/>
    <w:uiPriority w:val="9"/>
    <w:rsid w:val="00176007"/>
    <w:rPr>
      <w:rFonts w:asciiTheme="majorHAnsi" w:eastAsiaTheme="majorEastAsia" w:hAnsiTheme="majorHAnsi" w:cstheme="majorBidi"/>
      <w:b/>
      <w:bCs/>
      <w:color w:val="93A299" w:themeColor="accent1"/>
    </w:rPr>
  </w:style>
  <w:style w:type="character" w:customStyle="1" w:styleId="Titre4Car">
    <w:name w:val="Titre 4 Car"/>
    <w:basedOn w:val="Policepardfaut"/>
    <w:link w:val="Titre4"/>
    <w:uiPriority w:val="9"/>
    <w:rsid w:val="00176007"/>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rsid w:val="00176007"/>
    <w:rPr>
      <w:rFonts w:asciiTheme="majorHAnsi" w:eastAsiaTheme="majorEastAsia" w:hAnsiTheme="majorHAnsi" w:cstheme="majorBidi"/>
      <w:color w:val="47524B" w:themeColor="accent1" w:themeShade="7F"/>
    </w:rPr>
  </w:style>
  <w:style w:type="paragraph" w:styleId="Lgende">
    <w:name w:val="caption"/>
    <w:basedOn w:val="Normal"/>
    <w:next w:val="Normal"/>
    <w:uiPriority w:val="35"/>
    <w:unhideWhenUsed/>
    <w:qFormat/>
    <w:rsid w:val="00176007"/>
    <w:rPr>
      <w:b/>
      <w:bCs/>
      <w:color w:val="93A299" w:themeColor="accent1"/>
      <w:sz w:val="18"/>
      <w:szCs w:val="18"/>
    </w:rPr>
  </w:style>
  <w:style w:type="paragraph" w:styleId="Titre">
    <w:name w:val="Title"/>
    <w:basedOn w:val="Normal"/>
    <w:next w:val="Normal"/>
    <w:link w:val="TitreCar"/>
    <w:qFormat/>
    <w:rsid w:val="0017600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reCar">
    <w:name w:val="Titre Car"/>
    <w:basedOn w:val="Policepardfaut"/>
    <w:link w:val="Titre"/>
    <w:rsid w:val="00176007"/>
    <w:rPr>
      <w:rFonts w:asciiTheme="majorHAnsi" w:eastAsiaTheme="majorEastAsia" w:hAnsiTheme="majorHAnsi" w:cstheme="majorBidi"/>
      <w:color w:val="A43926" w:themeColor="text2" w:themeShade="BF"/>
      <w:spacing w:val="5"/>
      <w:kern w:val="28"/>
      <w:sz w:val="52"/>
      <w:szCs w:val="52"/>
    </w:rPr>
  </w:style>
  <w:style w:type="paragraph" w:styleId="Sous-titre">
    <w:name w:val="Subtitle"/>
    <w:basedOn w:val="Normal"/>
    <w:next w:val="Normal"/>
    <w:link w:val="Sous-titreCar"/>
    <w:uiPriority w:val="11"/>
    <w:qFormat/>
    <w:rsid w:val="00176007"/>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ous-titreCar">
    <w:name w:val="Sous-titre Car"/>
    <w:basedOn w:val="Policepardfaut"/>
    <w:link w:val="Sous-titre"/>
    <w:uiPriority w:val="11"/>
    <w:rsid w:val="00176007"/>
    <w:rPr>
      <w:rFonts w:asciiTheme="majorHAnsi" w:eastAsiaTheme="majorEastAsia" w:hAnsiTheme="majorHAnsi" w:cstheme="majorBidi"/>
      <w:i/>
      <w:iCs/>
      <w:color w:val="93A299" w:themeColor="accent1"/>
      <w:spacing w:val="15"/>
      <w:sz w:val="24"/>
      <w:szCs w:val="24"/>
    </w:rPr>
  </w:style>
  <w:style w:type="character" w:styleId="lev">
    <w:name w:val="Strong"/>
    <w:basedOn w:val="Policepardfaut"/>
    <w:uiPriority w:val="22"/>
    <w:qFormat/>
    <w:rsid w:val="00176007"/>
    <w:rPr>
      <w:b/>
      <w:bCs/>
    </w:rPr>
  </w:style>
  <w:style w:type="character" w:styleId="Accentuation">
    <w:name w:val="Emphasis"/>
    <w:basedOn w:val="Policepardfaut"/>
    <w:uiPriority w:val="20"/>
    <w:qFormat/>
    <w:rsid w:val="00176007"/>
    <w:rPr>
      <w:i/>
      <w:iCs/>
    </w:rPr>
  </w:style>
  <w:style w:type="paragraph" w:styleId="Sansinterligne">
    <w:name w:val="No Spacing"/>
    <w:link w:val="SansinterligneCar"/>
    <w:uiPriority w:val="1"/>
    <w:qFormat/>
    <w:rsid w:val="00176007"/>
  </w:style>
  <w:style w:type="character" w:customStyle="1" w:styleId="SansinterligneCar">
    <w:name w:val="Sans interligne Car"/>
    <w:basedOn w:val="Policepardfaut"/>
    <w:link w:val="Sansinterligne"/>
    <w:uiPriority w:val="1"/>
    <w:rsid w:val="00176007"/>
  </w:style>
  <w:style w:type="paragraph" w:styleId="Paragraphedeliste">
    <w:name w:val="List Paragraph"/>
    <w:basedOn w:val="Normal"/>
    <w:uiPriority w:val="34"/>
    <w:qFormat/>
    <w:rsid w:val="00176007"/>
    <w:pPr>
      <w:ind w:left="720"/>
      <w:contextualSpacing/>
    </w:pPr>
  </w:style>
  <w:style w:type="paragraph" w:styleId="Citationintense">
    <w:name w:val="Intense Quote"/>
    <w:aliases w:val="sous partie 1"/>
    <w:basedOn w:val="Normal"/>
    <w:next w:val="Normal"/>
    <w:link w:val="CitationintenseCar"/>
    <w:autoRedefine/>
    <w:uiPriority w:val="30"/>
    <w:qFormat/>
    <w:rsid w:val="00176007"/>
    <w:pPr>
      <w:pBdr>
        <w:bottom w:val="single" w:sz="4" w:space="4" w:color="93A299" w:themeColor="accent1"/>
      </w:pBdr>
      <w:spacing w:before="200" w:after="280"/>
      <w:ind w:left="720" w:right="936"/>
    </w:pPr>
    <w:rPr>
      <w:b/>
      <w:bCs/>
      <w:i/>
      <w:iCs/>
      <w:color w:val="C00000"/>
      <w:sz w:val="28"/>
      <w:szCs w:val="28"/>
    </w:rPr>
  </w:style>
  <w:style w:type="character" w:customStyle="1" w:styleId="CitationintenseCar">
    <w:name w:val="Citation intense Car"/>
    <w:aliases w:val="sous partie 1 Car"/>
    <w:basedOn w:val="Policepardfaut"/>
    <w:link w:val="Citationintense"/>
    <w:uiPriority w:val="30"/>
    <w:rsid w:val="00176007"/>
    <w:rPr>
      <w:b/>
      <w:bCs/>
      <w:i/>
      <w:iCs/>
      <w:color w:val="C00000"/>
      <w:sz w:val="28"/>
      <w:szCs w:val="28"/>
    </w:rPr>
  </w:style>
  <w:style w:type="character" w:styleId="Emphaseple">
    <w:name w:val="Subtle Emphasis"/>
    <w:basedOn w:val="Policepardfaut"/>
    <w:uiPriority w:val="19"/>
    <w:qFormat/>
    <w:rsid w:val="00176007"/>
    <w:rPr>
      <w:i/>
      <w:iCs/>
      <w:color w:val="8A8AA3" w:themeColor="text1" w:themeTint="7F"/>
    </w:rPr>
  </w:style>
  <w:style w:type="character" w:styleId="Rfrenceple">
    <w:name w:val="Subtle Reference"/>
    <w:basedOn w:val="Policepardfaut"/>
    <w:uiPriority w:val="31"/>
    <w:qFormat/>
    <w:rsid w:val="00176007"/>
    <w:rPr>
      <w:smallCaps/>
      <w:color w:val="AD8F67" w:themeColor="accent2"/>
      <w:u w:val="single"/>
    </w:rPr>
  </w:style>
  <w:style w:type="character" w:styleId="Rfrenceintense">
    <w:name w:val="Intense Reference"/>
    <w:aliases w:val="titre partie"/>
    <w:basedOn w:val="Policepardfaut"/>
    <w:uiPriority w:val="32"/>
    <w:qFormat/>
    <w:rsid w:val="00176007"/>
    <w:rPr>
      <w:rFonts w:ascii="Calibri" w:hAnsi="Calibri"/>
      <w:b/>
      <w:bCs/>
      <w:smallCaps/>
      <w:color w:val="AD8F67" w:themeColor="accent2"/>
      <w:spacing w:val="5"/>
      <w:sz w:val="28"/>
      <w:u w:val="single"/>
    </w:rPr>
  </w:style>
  <w:style w:type="paragraph" w:styleId="En-tte">
    <w:name w:val="header"/>
    <w:basedOn w:val="Normal"/>
    <w:link w:val="En-tteCar"/>
    <w:unhideWhenUsed/>
    <w:rsid w:val="007D34CB"/>
    <w:pPr>
      <w:tabs>
        <w:tab w:val="center" w:pos="4536"/>
        <w:tab w:val="right" w:pos="9072"/>
      </w:tabs>
    </w:pPr>
  </w:style>
  <w:style w:type="character" w:customStyle="1" w:styleId="En-tteCar">
    <w:name w:val="En-tête Car"/>
    <w:basedOn w:val="Policepardfaut"/>
    <w:link w:val="En-tte"/>
    <w:uiPriority w:val="99"/>
    <w:rsid w:val="007D34CB"/>
  </w:style>
  <w:style w:type="paragraph" w:styleId="Pieddepage">
    <w:name w:val="footer"/>
    <w:basedOn w:val="Normal"/>
    <w:link w:val="PieddepageCar"/>
    <w:uiPriority w:val="99"/>
    <w:unhideWhenUsed/>
    <w:rsid w:val="007D34CB"/>
    <w:pPr>
      <w:tabs>
        <w:tab w:val="center" w:pos="4536"/>
        <w:tab w:val="right" w:pos="9072"/>
      </w:tabs>
    </w:pPr>
  </w:style>
  <w:style w:type="character" w:customStyle="1" w:styleId="PieddepageCar">
    <w:name w:val="Pied de page Car"/>
    <w:basedOn w:val="Policepardfaut"/>
    <w:link w:val="Pieddepage"/>
    <w:uiPriority w:val="99"/>
    <w:rsid w:val="007D34CB"/>
  </w:style>
  <w:style w:type="paragraph" w:styleId="Textedebulles">
    <w:name w:val="Balloon Text"/>
    <w:basedOn w:val="Normal"/>
    <w:link w:val="TextedebullesCar"/>
    <w:uiPriority w:val="99"/>
    <w:semiHidden/>
    <w:unhideWhenUsed/>
    <w:rsid w:val="007D34CB"/>
    <w:rPr>
      <w:rFonts w:ascii="Tahoma" w:hAnsi="Tahoma" w:cs="Tahoma"/>
      <w:sz w:val="16"/>
      <w:szCs w:val="16"/>
    </w:rPr>
  </w:style>
  <w:style w:type="character" w:customStyle="1" w:styleId="TextedebullesCar">
    <w:name w:val="Texte de bulles Car"/>
    <w:basedOn w:val="Policepardfaut"/>
    <w:link w:val="Textedebulles"/>
    <w:uiPriority w:val="99"/>
    <w:semiHidden/>
    <w:rsid w:val="007D34CB"/>
    <w:rPr>
      <w:rFonts w:ascii="Tahoma" w:hAnsi="Tahoma" w:cs="Tahoma"/>
      <w:sz w:val="16"/>
      <w:szCs w:val="16"/>
    </w:rPr>
  </w:style>
  <w:style w:type="paragraph" w:customStyle="1" w:styleId="Default">
    <w:name w:val="Default"/>
    <w:rsid w:val="004908FB"/>
    <w:pPr>
      <w:autoSpaceDE w:val="0"/>
      <w:autoSpaceDN w:val="0"/>
      <w:adjustRightInd w:val="0"/>
    </w:pPr>
    <w:rPr>
      <w:rFonts w:ascii="Arial" w:hAnsi="Arial" w:cs="Arial"/>
      <w:color w:val="000000"/>
      <w:sz w:val="24"/>
      <w:szCs w:val="24"/>
    </w:rPr>
  </w:style>
  <w:style w:type="table" w:styleId="Grilledetableauclaire">
    <w:name w:val="Grid Table Light"/>
    <w:basedOn w:val="TableauNormal"/>
    <w:uiPriority w:val="40"/>
    <w:rsid w:val="00490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4908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RAYNE</dc:creator>
  <cp:lastModifiedBy>Sandrine SENGER</cp:lastModifiedBy>
  <cp:revision>2</cp:revision>
  <cp:lastPrinted>2015-09-03T10:30:00Z</cp:lastPrinted>
  <dcterms:created xsi:type="dcterms:W3CDTF">2018-02-07T09:53:00Z</dcterms:created>
  <dcterms:modified xsi:type="dcterms:W3CDTF">2018-02-07T09:53:00Z</dcterms:modified>
</cp:coreProperties>
</file>